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1E4B58" w:rsidRPr="001E4B58" w:rsidRDefault="001E4B58" w:rsidP="001E4B58">
      <w:pPr>
        <w:tabs>
          <w:tab w:val="left" w:pos="14656"/>
        </w:tabs>
        <w:jc w:val="center"/>
        <w:rPr>
          <w:b/>
          <w:lang w:eastAsia="lt-LT"/>
        </w:rPr>
      </w:pPr>
      <w:r w:rsidRPr="001E4B58">
        <w:rPr>
          <w:b/>
          <w:lang w:eastAsia="lt-LT"/>
        </w:rPr>
        <w:t>KLAIPĖDOS LOPŠELIO-DARŽELIO „RADASTĖLĖ“</w:t>
      </w:r>
    </w:p>
    <w:p w:rsidR="001E4B58" w:rsidRPr="001E4B58" w:rsidRDefault="001E4B58" w:rsidP="001E4B58">
      <w:pPr>
        <w:jc w:val="center"/>
        <w:rPr>
          <w:b/>
          <w:lang w:eastAsia="lt-LT"/>
        </w:rPr>
      </w:pPr>
      <w:r w:rsidRPr="001E4B58">
        <w:rPr>
          <w:b/>
          <w:lang w:eastAsia="lt-LT"/>
        </w:rPr>
        <w:t>2021 METŲ VEIKLOS ATASKAITA</w:t>
      </w:r>
    </w:p>
    <w:p w:rsidR="001E4B58" w:rsidRPr="001E4B58" w:rsidRDefault="001E4B58" w:rsidP="001E4B58">
      <w:pPr>
        <w:jc w:val="center"/>
        <w:rPr>
          <w:szCs w:val="20"/>
          <w:lang w:eastAsia="lt-LT"/>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5"/>
      </w:tblGrid>
      <w:tr w:rsidR="001E4B58" w:rsidRPr="001E4B58" w:rsidTr="000D148D">
        <w:tc>
          <w:tcPr>
            <w:tcW w:w="9775" w:type="dxa"/>
            <w:tcBorders>
              <w:top w:val="nil"/>
              <w:left w:val="nil"/>
              <w:bottom w:val="nil"/>
              <w:right w:val="nil"/>
            </w:tcBorders>
          </w:tcPr>
          <w:p w:rsidR="001E4B58" w:rsidRPr="001E4B58" w:rsidRDefault="001E4B58" w:rsidP="001E4B58">
            <w:pPr>
              <w:ind w:firstLine="567"/>
              <w:jc w:val="both"/>
              <w:rPr>
                <w:strike/>
              </w:rPr>
            </w:pPr>
            <w:r w:rsidRPr="001E4B58">
              <w:t xml:space="preserve">Klaipėdos lopšelis-darželis „Radastėlė“ (toliau – Įstaiga) įgyvendina Įstaigos ikimokyklinio ugdymo ir Priešmokyklinio ugdymo bendrąją programas. 2021-09-01 duomenimis, Įstaigoje ugdyti 168 vaikai (2020 m. – 166), iš jų 30 vaikų – lopšelio grupėse, 100 vaikų – darželio grupėse, 38 vaikai – priešmokyklinėse grupėse. Dirbo 21 pedagogas, 19,4 etato, ir 21 nepedagoginis darbuotojas, 23,92 etato, skyrus papildomai 2,5 mokytojo padėjėjo etatų (2020 m. – 21,42 etato). </w:t>
            </w:r>
          </w:p>
          <w:p w:rsidR="001E4B58" w:rsidRPr="001E4B58" w:rsidRDefault="001E4B58" w:rsidP="001E4B58">
            <w:pPr>
              <w:tabs>
                <w:tab w:val="left" w:pos="924"/>
              </w:tabs>
              <w:ind w:firstLine="567"/>
              <w:jc w:val="both"/>
            </w:pPr>
            <w:r w:rsidRPr="001E4B58">
              <w:t>Praėjusiais metais Įstaiga veikė, vadovaudamasi 2021–2023 m. strateginiu planu (toliau – Strateginis planas) ir 2021 m. veiklos planu (toliau – Veiklos planas). Įstaigos bendruomenė 2021 m. numatė šias prioritetinės veiklos kryptis: 1) vaiko asmenybės ūgtis, teikiant veiksmingą švietimo pagalbą, siekiant emocinės gerovės, taikant inovatyvius ugdymo metodus; 2) vaiko, šeimos, Įstaigos, socialinių partnerių bendradarbiavimas. Strateginiam tikslui įgyvendinti Strateginiame ir Veiklos planuose buvo iškelti konkretūs veiklos tikslai ir uždaviniai, numatytos pamatuotos priemonės laukiamam rezultatui pasiekti.</w:t>
            </w:r>
          </w:p>
          <w:p w:rsidR="001E4B58" w:rsidRPr="001E4B58" w:rsidRDefault="001E4B58" w:rsidP="001E4B58">
            <w:pPr>
              <w:ind w:firstLine="567"/>
              <w:jc w:val="both"/>
              <w:rPr>
                <w:strike/>
              </w:rPr>
            </w:pPr>
            <w:r w:rsidRPr="001E4B58">
              <w:t xml:space="preserve">Siekiant Strateginio plano pirmojo tikslo – užtikrinti kokybišką ugdymo proceso organizavimą – Įstaigos veikla buvo orientuojama į ugdymo kokybės gerinimą, siekiant kiekvieno vaiko asmenybės ūgties bei vaiko, šeimos, ugdymo įstaigos, socialinių partnerių bendradarbiavimo organizavimą, užtikrinant prasmingą ir saugią kiekvieno vaiko emocinę gerovę. Tikslui pasiekti buvo vykdomi trys Veiklos plano uždaviniai: </w:t>
            </w:r>
          </w:p>
          <w:p w:rsidR="001E4B58" w:rsidRPr="001E4B58" w:rsidRDefault="001E4B58" w:rsidP="001E4B58">
            <w:pPr>
              <w:numPr>
                <w:ilvl w:val="0"/>
                <w:numId w:val="1"/>
              </w:numPr>
              <w:tabs>
                <w:tab w:val="left" w:pos="853"/>
              </w:tabs>
              <w:ind w:left="0" w:firstLine="570"/>
              <w:contextualSpacing/>
              <w:jc w:val="both"/>
            </w:pPr>
            <w:r w:rsidRPr="001E4B58">
              <w:t xml:space="preserve">įgyvendinant pirmąjį uždavinį – taikyti inovatyvius ugdymo metodus įvairinant ir intensyvinant ugdymo proceso organizavimą lauko edukacinėse erdvėse – buvo sėkmingai įvykdytos priemonės, susijusios su pedagogų inovatyvių ugdymo metodų taikymo kompetencijų gerinimu ir tų metodų taikymu ugdomojoje veikloje, edukacinių lauko erdvių kūrimu. Įstaigos bendruomenė tapo Besimokančių darželių tinklo nare, vykdytos nacionalinio projekto „Inovacijos vaikų darželyje“ veiklos. Visi mokytojai patobulino savo kompetencijas, </w:t>
            </w:r>
            <w:r w:rsidRPr="001E4B58">
              <w:rPr>
                <w:lang w:val="pt-PT"/>
              </w:rPr>
              <w:t xml:space="preserve">60 % </w:t>
            </w:r>
            <w:r w:rsidRPr="001E4B58">
              <w:t>taikė inovatyvius metodus ugdymo procese (2020 m.  – 40 %).</w:t>
            </w:r>
            <w:r w:rsidRPr="001E4B58">
              <w:rPr>
                <w:lang w:eastAsia="lt-LT"/>
              </w:rPr>
              <w:t xml:space="preserve"> Lauke pagerintos edukacinės aplinkos: </w:t>
            </w:r>
            <w:r w:rsidRPr="001E4B58">
              <w:t>įrengtos 2 naujos, 2 atnaujintos, rėmėjų lėšomis įsigyti dviratukai. 30 % ugdomųjų veiklų vyksta lauke – tiek Įstaigos kieme, tiek už teritorijos ribų. 2021 m. vaikai vyko į 18 pažintinių-edukacinių išvykų į miesto erdves, kultūros įstaigas;</w:t>
            </w:r>
          </w:p>
          <w:p w:rsidR="001E4B58" w:rsidRPr="001E4B58" w:rsidRDefault="001E4B58" w:rsidP="001E4B58">
            <w:pPr>
              <w:numPr>
                <w:ilvl w:val="0"/>
                <w:numId w:val="1"/>
              </w:numPr>
              <w:tabs>
                <w:tab w:val="left" w:pos="853"/>
              </w:tabs>
              <w:ind w:left="0" w:firstLine="570"/>
              <w:contextualSpacing/>
              <w:jc w:val="both"/>
            </w:pPr>
            <w:r w:rsidRPr="001E4B58">
              <w:t xml:space="preserve">įgyvendinant antrąjį uždavinį – tobulinti pedagogų skaitmeninį raštingumą, naudojant informacines komunikacines technologijas (toliau – IKT) ir jas integruojant į ugdymo ir ugdymosi procesą, taikant virtualias ir nuotoliniam ugdymui skirtas platformas, programas, įrankius – buvo padaryta pažanga profesinio mokytojų tobulėjimo srityje – visi mokytojai planuoja ir reflektuoja ugdomąją veiklą, bendrauja su ugdytinių šeimomis elektroniniame dienyne „Mūsų darželis“, virtualioje aplinkoje vykdo bendrus projektus – „Zoom“ aplinkoje organizuota Alytaus, Šakių, Šiaulių ir Klaipėdos ikimokyklinio ugdymo įstaigų priešmokyklinio amžiaus vaikų viktorina, „eTwinning“ projektas, karantino metu vykdyti nuotoliniai užsiėmimai. 80 % (2020 m. – 60 %) mokytojų, naudodami IKT, vykdė metodinę veiklą – dalyvavo 10 tarptautinių, 22 respublikiniuose projektuose, vaikų kūrybiniai darbai eksponuoti 2 tarptautinėse, 32 respublikinėse virtualiose parodose. 60 % (2020 m. – 50 %) mokytojų ugdymo procesui įvairinti rengia ugdymo priemones „Book creator“, „Canva“, „Padlet“ instrumentų pagalba. „Teams“ platformoje vyko grupių tėvų susirinkimai, nufilmuoti ir visoms šeimoms išsiųsti grupių kalėdiniai sveikinimai. Virtualioje aplinkoje vyksta ir mokytojų kvalifikaciniai renginiai: 2 mokytojų komanda vedė nuotolinius </w:t>
            </w:r>
            <w:r w:rsidRPr="001E4B58">
              <w:rPr>
                <w:lang w:eastAsia="lt-LT"/>
              </w:rPr>
              <w:t xml:space="preserve">Nacionalinės švietimo agentūros (toliau </w:t>
            </w:r>
            <w:r w:rsidRPr="001E4B58">
              <w:t>–</w:t>
            </w:r>
            <w:r w:rsidRPr="001E4B58">
              <w:rPr>
                <w:lang w:eastAsia="lt-LT"/>
              </w:rPr>
              <w:t xml:space="preserve"> NŠA) </w:t>
            </w:r>
            <w:r w:rsidRPr="001E4B58">
              <w:t xml:space="preserve">projekto „Inovacijos vaikų darželyje“ mokymus Klaipėdos miesto ir rajono švietimo įstaigų komandoms (8 mokymų dienos), 5 mokytojai skaitė </w:t>
            </w:r>
            <w:r w:rsidRPr="001E4B58">
              <w:lastRenderedPageBreak/>
              <w:t>pranešimus kitų ikimokyklinio ugdymo įstaigų metodinėse dienose, dalinosi IKT integravimo į ugdymo procesą patirtimi Apskrito stalo diskusijose;</w:t>
            </w:r>
          </w:p>
          <w:p w:rsidR="001E4B58" w:rsidRPr="001E4B58" w:rsidRDefault="001E4B58" w:rsidP="001E4B58">
            <w:pPr>
              <w:numPr>
                <w:ilvl w:val="0"/>
                <w:numId w:val="1"/>
              </w:numPr>
              <w:tabs>
                <w:tab w:val="left" w:pos="853"/>
              </w:tabs>
              <w:ind w:left="0" w:firstLine="570"/>
              <w:contextualSpacing/>
              <w:jc w:val="both"/>
              <w:rPr>
                <w:strike/>
                <w:szCs w:val="20"/>
              </w:rPr>
            </w:pPr>
            <w:r w:rsidRPr="001E4B58">
              <w:t xml:space="preserve">įgyvendinant trečiąjį uždavinį – patobulinti pedagoginius gebėjimus kuriant saugią emocinę aplinką, užtikrinančią gerą kiekvieno vaiko savijautą – buvo sėkmingai vykdytos priemonės, susijusios su mokytojų gebėjimų, kuriant saugią emocinę aplinką, užtikrinant ugdymo kokybę, nustatymu ir tobulinimu bei vaikų patirties ir motyvacijos kurti saugius emocinius santykius didinimui. Įstaiga dalyvavo NŠA projekto „Neformaliojo vaikų švietimo, ikimokyklinio, priešmokyklinio ir bendrojo ugdymo vertinimo, įsivertinimo tobulinimas ir plėtotė“ veiklose – išbandė ikimokyklinio ir priešmokyklinio ugdymo programas vykdančių mokyklų veiklos kokybės įsivertinimo ir išorinio vertinimo metodikas. Įsivertinimo metu mokytojai Vaiko gerovės sritį įvertino 2 lygiu (veiksminga praktika), tėvai – 3 lygiu (išskirtinė praktika). Ugdymosi sritį ir mokytojai ir tėvai įvertino 3 lygiu. Išorės vertintojai Įstaigos veiklą įvertino 2 lygiu ir rekomendavo tobulinti ugdymosi, ugdymo strategijų, pasiekimų vertinimo ir ugdymo planavimo sritis. </w:t>
            </w:r>
          </w:p>
          <w:p w:rsidR="001E4B58" w:rsidRPr="001E4B58" w:rsidRDefault="001E4B58" w:rsidP="001E4B58">
            <w:pPr>
              <w:tabs>
                <w:tab w:val="left" w:pos="853"/>
              </w:tabs>
              <w:ind w:firstLine="570"/>
              <w:contextualSpacing/>
              <w:jc w:val="both"/>
            </w:pPr>
            <w:r w:rsidRPr="001E4B58">
              <w:rPr>
                <w:szCs w:val="20"/>
              </w:rPr>
              <w:t>Siekiant vaiko emocinės gerovės, į Ikimokyklinio ugdymo ir Priešmokyklinio ugdymo bendrąją programas buvo integruotos fizinio ugdymo ir sveikatingumo bei etnokultūrinio ugdymo neformaliojo vaikų švietimo programos, kuriose dalyvavo visi vaikai. 2 priešmokyklinėse grupėse sėkmingai įgyvendinta tarptautinė socialinių ir emocinių įgūdžių ugdymo programa „Zipio draugai“, 2 (2020 m. – 1) ikimokyklinėse grupėse buvo įgyvendinama tarptautinė emocinio intelekto ugdymo programa „Kimochis“.</w:t>
            </w:r>
            <w:r w:rsidRPr="001E4B58">
              <w:rPr>
                <w:color w:val="FF0000"/>
              </w:rPr>
              <w:t xml:space="preserve"> </w:t>
            </w:r>
            <w:r w:rsidRPr="001E4B58">
              <w:t>Įstaigoje organizuotos 4 bendruomeniškumo akcijos, kurių metu paaukota parama skirta beglobių gyvūnų prieglaudai „Linksmosios pėdutės“, migrantams, Maltiečių globojamiems seneliams, 700 Eur skirta Lietuvos jūrų muziejaus Delfinų terapijos skyriui.</w:t>
            </w:r>
          </w:p>
          <w:p w:rsidR="001E4B58" w:rsidRPr="001E4B58" w:rsidRDefault="001E4B58" w:rsidP="001E4B58">
            <w:pPr>
              <w:ind w:firstLine="567"/>
              <w:contextualSpacing/>
              <w:jc w:val="both"/>
              <w:rPr>
                <w:strike/>
                <w:szCs w:val="20"/>
              </w:rPr>
            </w:pPr>
            <w:r w:rsidRPr="001E4B58">
              <w:rPr>
                <w:lang w:eastAsia="lt-LT"/>
              </w:rPr>
              <w:t xml:space="preserve">Vaiko gerovės komisijos posėdžiuose svarstytas 6 vaikų specialiųjų ugdymosi poreikių įvertinimas Klaipėdos pedagoginėje psichologinėje tarnyboje. 6 vaikams suteikta mokytojo padėjėjo pagalba. 25 vaikams teikta logopedo pagalba, kalba ištaisyta 36 </w:t>
            </w:r>
            <w:r w:rsidRPr="001E4B58">
              <w:t>%</w:t>
            </w:r>
            <w:r w:rsidRPr="001E4B58">
              <w:rPr>
                <w:lang w:eastAsia="lt-LT"/>
              </w:rPr>
              <w:t xml:space="preserve"> vaikų (2020 m. – 32,5 </w:t>
            </w:r>
            <w:r w:rsidRPr="001E4B58">
              <w:t>%).</w:t>
            </w:r>
            <w:r w:rsidRPr="001E4B58">
              <w:rPr>
                <w:lang w:eastAsia="lt-LT"/>
              </w:rPr>
              <w:t xml:space="preserve"> </w:t>
            </w:r>
          </w:p>
          <w:p w:rsidR="001E4B58" w:rsidRPr="001E4B58" w:rsidRDefault="001E4B58" w:rsidP="001E4B58">
            <w:pPr>
              <w:ind w:firstLine="567"/>
              <w:jc w:val="both"/>
            </w:pPr>
            <w:r w:rsidRPr="001E4B58">
              <w:t>Siekiant Strateginio plano antrojo tikslo –</w:t>
            </w:r>
            <w:r w:rsidRPr="001E4B58">
              <w:rPr>
                <w:szCs w:val="20"/>
              </w:rPr>
              <w:t xml:space="preserve"> </w:t>
            </w:r>
            <w:r w:rsidRPr="001E4B58">
              <w:t>užtikrinti sveiką, saugią ir šiuolaikinius ugdymo(si) reikalavimus atitinkančią aplinką – Įstaigos veikla buvo orientuojama į edukacinių aplinkų kūrimą, patalpų būklės atnaujinimą, šiuolaikinių ugdymo(si) priemonių įsigijimą. Tikslui pasiekti buvo vykdomas vienas Strateginio plano uždavinys – pritaikyti Įstaigos aplinkas švietimo reikmėms. Savivaldybės lėšomis p</w:t>
            </w:r>
            <w:r w:rsidRPr="001E4B58">
              <w:rPr>
                <w:lang w:eastAsia="lt-LT"/>
              </w:rPr>
              <w:t>akeista dalies pastato elektros instaliacija, suremontuotos 2 laiptinės, rėmėjų lėšomis įrengtas sporto įrenginys kieme, įsigyta 15 vaikiškų dviratukų, 2 garso kolonėlės. Mokytojų iniciatyva įrengtos 2 ir atnaujintos 2 ugdymo aplinkos lauke, pradėta rengti STEAM laboratorija. Įsigyta metodinės literatūros, ugdymo priemonių grupėms, muzikos salei, metodiniam kabinetui, judriosioms veikloms lauke. Įstaiga aprūpinta 2 kompiuteriais ir 2 laminavimo aparatais.</w:t>
            </w:r>
          </w:p>
          <w:p w:rsidR="001E4B58" w:rsidRPr="001E4B58" w:rsidRDefault="001E4B58" w:rsidP="001E4B58">
            <w:pPr>
              <w:ind w:firstLine="567"/>
              <w:jc w:val="both"/>
            </w:pPr>
            <w:r w:rsidRPr="001E4B58">
              <w:t>2021 m. Įstaigos finansinė situacija buvo tokia:</w:t>
            </w:r>
          </w:p>
          <w:tbl>
            <w:tblPr>
              <w:tblStyle w:val="Lentelstinklelis"/>
              <w:tblW w:w="0" w:type="auto"/>
              <w:tblInd w:w="31" w:type="dxa"/>
              <w:tblLook w:val="04A0" w:firstRow="1" w:lastRow="0" w:firstColumn="1" w:lastColumn="0" w:noHBand="0" w:noVBand="1"/>
            </w:tblPr>
            <w:tblGrid>
              <w:gridCol w:w="2084"/>
              <w:gridCol w:w="1470"/>
              <w:gridCol w:w="1232"/>
              <w:gridCol w:w="1559"/>
              <w:gridCol w:w="3173"/>
            </w:tblGrid>
            <w:tr w:rsidR="001E4B58" w:rsidRPr="001E4B58" w:rsidTr="001E4B58">
              <w:trPr>
                <w:tblHeader/>
              </w:trPr>
              <w:tc>
                <w:tcPr>
                  <w:tcW w:w="2084" w:type="dxa"/>
                  <w:vMerge w:val="restart"/>
                  <w:tcBorders>
                    <w:top w:val="single" w:sz="4" w:space="0" w:color="auto"/>
                    <w:left w:val="single" w:sz="4" w:space="0" w:color="auto"/>
                    <w:bottom w:val="single" w:sz="4" w:space="0" w:color="auto"/>
                    <w:right w:val="single" w:sz="4" w:space="0" w:color="auto"/>
                  </w:tcBorders>
                  <w:hideMark/>
                </w:tcPr>
                <w:p w:rsidR="001E4B58" w:rsidRPr="001E4B58" w:rsidRDefault="001E4B58" w:rsidP="001E4B58">
                  <w:pPr>
                    <w:jc w:val="center"/>
                  </w:pPr>
                  <w:r w:rsidRPr="001E4B58">
                    <w:t>Finansavimo šaltinis</w:t>
                  </w:r>
                </w:p>
              </w:tc>
              <w:tc>
                <w:tcPr>
                  <w:tcW w:w="4261" w:type="dxa"/>
                  <w:gridSpan w:val="3"/>
                  <w:tcBorders>
                    <w:top w:val="single" w:sz="4" w:space="0" w:color="auto"/>
                    <w:left w:val="single" w:sz="4" w:space="0" w:color="auto"/>
                    <w:bottom w:val="single" w:sz="4" w:space="0" w:color="auto"/>
                    <w:right w:val="single" w:sz="4" w:space="0" w:color="auto"/>
                  </w:tcBorders>
                  <w:hideMark/>
                </w:tcPr>
                <w:p w:rsidR="001E4B58" w:rsidRPr="001E4B58" w:rsidRDefault="001E4B58" w:rsidP="001E4B58">
                  <w:pPr>
                    <w:jc w:val="center"/>
                  </w:pPr>
                  <w:r w:rsidRPr="001E4B58">
                    <w:t>Lėšos (tūkst. Eur)</w:t>
                  </w:r>
                </w:p>
              </w:tc>
              <w:tc>
                <w:tcPr>
                  <w:tcW w:w="3173" w:type="dxa"/>
                  <w:vMerge w:val="restart"/>
                  <w:tcBorders>
                    <w:top w:val="single" w:sz="4" w:space="0" w:color="auto"/>
                    <w:left w:val="single" w:sz="4" w:space="0" w:color="auto"/>
                    <w:right w:val="single" w:sz="4" w:space="0" w:color="auto"/>
                  </w:tcBorders>
                </w:tcPr>
                <w:p w:rsidR="001E4B58" w:rsidRPr="001E4B58" w:rsidRDefault="001E4B58" w:rsidP="001E4B58">
                  <w:pPr>
                    <w:jc w:val="center"/>
                  </w:pPr>
                  <w:r w:rsidRPr="001E4B58">
                    <w:t>Pastabos</w:t>
                  </w:r>
                </w:p>
                <w:p w:rsidR="001E4B58" w:rsidRPr="001E4B58" w:rsidRDefault="001E4B58" w:rsidP="001E4B58">
                  <w:pPr>
                    <w:jc w:val="center"/>
                  </w:pPr>
                </w:p>
              </w:tc>
            </w:tr>
            <w:tr w:rsidR="001E4B58" w:rsidRPr="001E4B58" w:rsidTr="001E4B58">
              <w:trPr>
                <w:tblHeader/>
              </w:trPr>
              <w:tc>
                <w:tcPr>
                  <w:tcW w:w="2084" w:type="dxa"/>
                  <w:vMerge/>
                  <w:tcBorders>
                    <w:top w:val="single" w:sz="4" w:space="0" w:color="auto"/>
                    <w:left w:val="single" w:sz="4" w:space="0" w:color="auto"/>
                    <w:bottom w:val="single" w:sz="4" w:space="0" w:color="auto"/>
                    <w:right w:val="single" w:sz="4" w:space="0" w:color="auto"/>
                  </w:tcBorders>
                  <w:vAlign w:val="center"/>
                  <w:hideMark/>
                </w:tcPr>
                <w:p w:rsidR="001E4B58" w:rsidRPr="001E4B58" w:rsidRDefault="001E4B58" w:rsidP="001E4B58"/>
              </w:tc>
              <w:tc>
                <w:tcPr>
                  <w:tcW w:w="1470" w:type="dxa"/>
                  <w:tcBorders>
                    <w:top w:val="single" w:sz="4" w:space="0" w:color="auto"/>
                    <w:left w:val="single" w:sz="4" w:space="0" w:color="auto"/>
                    <w:bottom w:val="single" w:sz="4" w:space="0" w:color="auto"/>
                    <w:right w:val="single" w:sz="4" w:space="0" w:color="auto"/>
                  </w:tcBorders>
                  <w:hideMark/>
                </w:tcPr>
                <w:p w:rsidR="001E4B58" w:rsidRPr="001E4B58" w:rsidRDefault="001E4B58" w:rsidP="001E4B58">
                  <w:pPr>
                    <w:jc w:val="center"/>
                  </w:pPr>
                  <w:r w:rsidRPr="001E4B58">
                    <w:t>Planas (patikslintas)</w:t>
                  </w:r>
                </w:p>
              </w:tc>
              <w:tc>
                <w:tcPr>
                  <w:tcW w:w="1232" w:type="dxa"/>
                  <w:tcBorders>
                    <w:top w:val="single" w:sz="4" w:space="0" w:color="auto"/>
                    <w:left w:val="single" w:sz="4" w:space="0" w:color="auto"/>
                    <w:bottom w:val="single" w:sz="4" w:space="0" w:color="auto"/>
                    <w:right w:val="single" w:sz="4" w:space="0" w:color="auto"/>
                  </w:tcBorders>
                  <w:hideMark/>
                </w:tcPr>
                <w:p w:rsidR="001E4B58" w:rsidRPr="001E4B58" w:rsidRDefault="001E4B58" w:rsidP="001E4B58">
                  <w:pPr>
                    <w:jc w:val="center"/>
                  </w:pPr>
                  <w:r w:rsidRPr="001E4B58">
                    <w:t>Panaudota lėšų</w:t>
                  </w:r>
                </w:p>
              </w:tc>
              <w:tc>
                <w:tcPr>
                  <w:tcW w:w="1559" w:type="dxa"/>
                  <w:tcBorders>
                    <w:top w:val="single" w:sz="4" w:space="0" w:color="auto"/>
                    <w:left w:val="single" w:sz="4" w:space="0" w:color="auto"/>
                    <w:bottom w:val="single" w:sz="4" w:space="0" w:color="auto"/>
                    <w:right w:val="single" w:sz="4" w:space="0" w:color="auto"/>
                  </w:tcBorders>
                  <w:hideMark/>
                </w:tcPr>
                <w:p w:rsidR="001E4B58" w:rsidRPr="001E4B58" w:rsidRDefault="001E4B58" w:rsidP="001E4B58">
                  <w:pPr>
                    <w:jc w:val="center"/>
                  </w:pPr>
                  <w:r w:rsidRPr="001E4B58">
                    <w:t>Įvykdymas (%)</w:t>
                  </w:r>
                </w:p>
              </w:tc>
              <w:tc>
                <w:tcPr>
                  <w:tcW w:w="3173" w:type="dxa"/>
                  <w:vMerge/>
                  <w:tcBorders>
                    <w:left w:val="single" w:sz="4" w:space="0" w:color="auto"/>
                    <w:bottom w:val="single" w:sz="4" w:space="0" w:color="auto"/>
                    <w:right w:val="single" w:sz="4" w:space="0" w:color="auto"/>
                  </w:tcBorders>
                </w:tcPr>
                <w:p w:rsidR="001E4B58" w:rsidRPr="001E4B58" w:rsidRDefault="001E4B58" w:rsidP="001E4B58"/>
              </w:tc>
            </w:tr>
            <w:tr w:rsidR="001E4B58" w:rsidRPr="001E4B58" w:rsidTr="001E4B58">
              <w:trPr>
                <w:trHeight w:val="415"/>
              </w:trPr>
              <w:tc>
                <w:tcPr>
                  <w:tcW w:w="2084" w:type="dxa"/>
                  <w:tcBorders>
                    <w:top w:val="single" w:sz="4" w:space="0" w:color="auto"/>
                    <w:left w:val="single" w:sz="4" w:space="0" w:color="auto"/>
                    <w:bottom w:val="single" w:sz="4" w:space="0" w:color="auto"/>
                    <w:right w:val="single" w:sz="4" w:space="0" w:color="auto"/>
                  </w:tcBorders>
                  <w:hideMark/>
                </w:tcPr>
                <w:p w:rsidR="001E4B58" w:rsidRPr="001E4B58" w:rsidRDefault="001E4B58" w:rsidP="001E4B58">
                  <w:r w:rsidRPr="001E4B58">
                    <w:t>Savivaldybės biudžetas (SB)</w:t>
                  </w:r>
                </w:p>
              </w:tc>
              <w:tc>
                <w:tcPr>
                  <w:tcW w:w="1470" w:type="dxa"/>
                  <w:tcBorders>
                    <w:top w:val="single" w:sz="4" w:space="0" w:color="auto"/>
                    <w:left w:val="single" w:sz="4" w:space="0" w:color="auto"/>
                    <w:bottom w:val="single" w:sz="4" w:space="0" w:color="auto"/>
                    <w:right w:val="single" w:sz="4" w:space="0" w:color="auto"/>
                  </w:tcBorders>
                </w:tcPr>
                <w:p w:rsidR="001E4B58" w:rsidRPr="001E4B58" w:rsidRDefault="001E4B58" w:rsidP="001E4B58">
                  <w:r w:rsidRPr="001E4B58">
                    <w:t>372,8</w:t>
                  </w:r>
                </w:p>
                <w:p w:rsidR="001E4B58" w:rsidRPr="001E4B58" w:rsidRDefault="001E4B58" w:rsidP="001E4B58">
                  <w:r w:rsidRPr="001E4B58">
                    <w:t>3,5</w:t>
                  </w:r>
                </w:p>
                <w:p w:rsidR="001E4B58" w:rsidRPr="001E4B58" w:rsidRDefault="001E4B58" w:rsidP="001E4B58">
                  <w:r w:rsidRPr="001E4B58">
                    <w:t>3,2</w:t>
                  </w:r>
                </w:p>
              </w:tc>
              <w:tc>
                <w:tcPr>
                  <w:tcW w:w="1232" w:type="dxa"/>
                  <w:tcBorders>
                    <w:top w:val="single" w:sz="4" w:space="0" w:color="auto"/>
                    <w:left w:val="single" w:sz="4" w:space="0" w:color="auto"/>
                    <w:bottom w:val="single" w:sz="4" w:space="0" w:color="auto"/>
                    <w:right w:val="single" w:sz="4" w:space="0" w:color="auto"/>
                  </w:tcBorders>
                </w:tcPr>
                <w:p w:rsidR="001E4B58" w:rsidRPr="001E4B58" w:rsidRDefault="001E4B58" w:rsidP="001E4B58">
                  <w:r w:rsidRPr="001E4B58">
                    <w:t>372,584</w:t>
                  </w:r>
                </w:p>
                <w:p w:rsidR="001E4B58" w:rsidRPr="001E4B58" w:rsidRDefault="001E4B58" w:rsidP="001E4B58">
                  <w:r w:rsidRPr="001E4B58">
                    <w:t>3,377</w:t>
                  </w:r>
                </w:p>
                <w:p w:rsidR="001E4B58" w:rsidRPr="001E4B58" w:rsidRDefault="001E4B58" w:rsidP="001E4B58">
                  <w:r w:rsidRPr="001E4B58">
                    <w:t>2,347</w:t>
                  </w:r>
                </w:p>
              </w:tc>
              <w:tc>
                <w:tcPr>
                  <w:tcW w:w="1559" w:type="dxa"/>
                  <w:tcBorders>
                    <w:top w:val="single" w:sz="4" w:space="0" w:color="auto"/>
                    <w:left w:val="single" w:sz="4" w:space="0" w:color="auto"/>
                    <w:bottom w:val="single" w:sz="4" w:space="0" w:color="auto"/>
                    <w:right w:val="single" w:sz="4" w:space="0" w:color="auto"/>
                  </w:tcBorders>
                </w:tcPr>
                <w:p w:rsidR="001E4B58" w:rsidRPr="001E4B58" w:rsidRDefault="001E4B58" w:rsidP="001E4B58">
                  <w:r w:rsidRPr="001E4B58">
                    <w:t>99,94</w:t>
                  </w:r>
                </w:p>
                <w:p w:rsidR="001E4B58" w:rsidRPr="001E4B58" w:rsidRDefault="001E4B58" w:rsidP="001E4B58">
                  <w:r w:rsidRPr="001E4B58">
                    <w:t>96,49</w:t>
                  </w:r>
                </w:p>
                <w:p w:rsidR="001E4B58" w:rsidRPr="001E4B58" w:rsidRDefault="001E4B58" w:rsidP="001E4B58">
                  <w:r w:rsidRPr="001E4B58">
                    <w:t>73,34</w:t>
                  </w:r>
                </w:p>
              </w:tc>
              <w:tc>
                <w:tcPr>
                  <w:tcW w:w="3173" w:type="dxa"/>
                  <w:tcBorders>
                    <w:top w:val="single" w:sz="4" w:space="0" w:color="auto"/>
                    <w:left w:val="single" w:sz="4" w:space="0" w:color="auto"/>
                    <w:bottom w:val="single" w:sz="4" w:space="0" w:color="auto"/>
                    <w:right w:val="single" w:sz="4" w:space="0" w:color="auto"/>
                  </w:tcBorders>
                </w:tcPr>
                <w:p w:rsidR="001E4B58" w:rsidRPr="001E4B58" w:rsidRDefault="001E4B58" w:rsidP="001E4B58">
                  <w:pPr>
                    <w:jc w:val="both"/>
                  </w:pPr>
                  <w:r w:rsidRPr="001E4B58">
                    <w:t>Liko nepanaudotos Savivaldybės biudžeto socialinio draudimo išmokų lėšos</w:t>
                  </w:r>
                </w:p>
              </w:tc>
            </w:tr>
            <w:tr w:rsidR="001E4B58" w:rsidRPr="001E4B58" w:rsidTr="001E4B58">
              <w:tc>
                <w:tcPr>
                  <w:tcW w:w="2084" w:type="dxa"/>
                  <w:tcBorders>
                    <w:top w:val="single" w:sz="4" w:space="0" w:color="auto"/>
                    <w:left w:val="single" w:sz="4" w:space="0" w:color="auto"/>
                    <w:bottom w:val="single" w:sz="4" w:space="0" w:color="auto"/>
                    <w:right w:val="single" w:sz="4" w:space="0" w:color="auto"/>
                  </w:tcBorders>
                  <w:hideMark/>
                </w:tcPr>
                <w:p w:rsidR="001E4B58" w:rsidRPr="001E4B58" w:rsidRDefault="001E4B58" w:rsidP="001E4B58">
                  <w:r w:rsidRPr="001E4B58">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1E4B58" w:rsidRPr="001E4B58" w:rsidRDefault="001E4B58" w:rsidP="001E4B58">
                  <w:r w:rsidRPr="001E4B58">
                    <w:t>238,2</w:t>
                  </w:r>
                </w:p>
              </w:tc>
              <w:tc>
                <w:tcPr>
                  <w:tcW w:w="1232" w:type="dxa"/>
                  <w:tcBorders>
                    <w:top w:val="single" w:sz="4" w:space="0" w:color="auto"/>
                    <w:left w:val="single" w:sz="4" w:space="0" w:color="auto"/>
                    <w:bottom w:val="single" w:sz="4" w:space="0" w:color="auto"/>
                    <w:right w:val="single" w:sz="4" w:space="0" w:color="auto"/>
                  </w:tcBorders>
                </w:tcPr>
                <w:p w:rsidR="001E4B58" w:rsidRPr="001E4B58" w:rsidRDefault="001E4B58" w:rsidP="001E4B58">
                  <w:r w:rsidRPr="001E4B58">
                    <w:t>238,069</w:t>
                  </w:r>
                </w:p>
              </w:tc>
              <w:tc>
                <w:tcPr>
                  <w:tcW w:w="1559" w:type="dxa"/>
                  <w:tcBorders>
                    <w:top w:val="single" w:sz="4" w:space="0" w:color="auto"/>
                    <w:left w:val="single" w:sz="4" w:space="0" w:color="auto"/>
                    <w:bottom w:val="single" w:sz="4" w:space="0" w:color="auto"/>
                    <w:right w:val="single" w:sz="4" w:space="0" w:color="auto"/>
                  </w:tcBorders>
                </w:tcPr>
                <w:p w:rsidR="001E4B58" w:rsidRPr="001E4B58" w:rsidRDefault="001E4B58" w:rsidP="001E4B58">
                  <w:r w:rsidRPr="001E4B58">
                    <w:t>99,95</w:t>
                  </w:r>
                </w:p>
              </w:tc>
              <w:tc>
                <w:tcPr>
                  <w:tcW w:w="3173" w:type="dxa"/>
                  <w:tcBorders>
                    <w:top w:val="single" w:sz="4" w:space="0" w:color="auto"/>
                    <w:left w:val="single" w:sz="4" w:space="0" w:color="auto"/>
                    <w:bottom w:val="single" w:sz="4" w:space="0" w:color="auto"/>
                    <w:right w:val="single" w:sz="4" w:space="0" w:color="auto"/>
                  </w:tcBorders>
                </w:tcPr>
                <w:p w:rsidR="001E4B58" w:rsidRPr="001E4B58" w:rsidRDefault="001E4B58" w:rsidP="001E4B58">
                  <w:pPr>
                    <w:jc w:val="both"/>
                  </w:pPr>
                  <w:r w:rsidRPr="001E4B58">
                    <w:t>Liko nepanaudoti 131 eurų Valstybės biudžeto lėšų socialiniam draudimui</w:t>
                  </w:r>
                </w:p>
              </w:tc>
            </w:tr>
            <w:tr w:rsidR="001E4B58" w:rsidRPr="001E4B58" w:rsidTr="001E4B58">
              <w:tc>
                <w:tcPr>
                  <w:tcW w:w="2084" w:type="dxa"/>
                  <w:tcBorders>
                    <w:top w:val="single" w:sz="4" w:space="0" w:color="auto"/>
                    <w:left w:val="single" w:sz="4" w:space="0" w:color="auto"/>
                    <w:bottom w:val="single" w:sz="4" w:space="0" w:color="auto"/>
                    <w:right w:val="single" w:sz="4" w:space="0" w:color="auto"/>
                  </w:tcBorders>
                  <w:hideMark/>
                </w:tcPr>
                <w:p w:rsidR="001E4B58" w:rsidRPr="001E4B58" w:rsidRDefault="001E4B58" w:rsidP="001E4B58">
                  <w:r w:rsidRPr="001E4B58">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1E4B58" w:rsidRPr="001E4B58" w:rsidRDefault="001E4B58" w:rsidP="001E4B58">
                  <w:r w:rsidRPr="001E4B58">
                    <w:t>79,0</w:t>
                  </w:r>
                </w:p>
              </w:tc>
              <w:tc>
                <w:tcPr>
                  <w:tcW w:w="1232" w:type="dxa"/>
                  <w:tcBorders>
                    <w:top w:val="single" w:sz="4" w:space="0" w:color="auto"/>
                    <w:left w:val="single" w:sz="4" w:space="0" w:color="auto"/>
                    <w:bottom w:val="single" w:sz="4" w:space="0" w:color="auto"/>
                    <w:right w:val="single" w:sz="4" w:space="0" w:color="auto"/>
                  </w:tcBorders>
                </w:tcPr>
                <w:p w:rsidR="001E4B58" w:rsidRPr="001E4B58" w:rsidRDefault="001E4B58" w:rsidP="001E4B58">
                  <w:r w:rsidRPr="001E4B58">
                    <w:t>59,372</w:t>
                  </w:r>
                </w:p>
              </w:tc>
              <w:tc>
                <w:tcPr>
                  <w:tcW w:w="1559" w:type="dxa"/>
                  <w:tcBorders>
                    <w:top w:val="single" w:sz="4" w:space="0" w:color="auto"/>
                    <w:left w:val="single" w:sz="4" w:space="0" w:color="auto"/>
                    <w:bottom w:val="single" w:sz="4" w:space="0" w:color="auto"/>
                    <w:right w:val="single" w:sz="4" w:space="0" w:color="auto"/>
                  </w:tcBorders>
                </w:tcPr>
                <w:p w:rsidR="001E4B58" w:rsidRPr="001E4B58" w:rsidRDefault="001E4B58" w:rsidP="001E4B58">
                  <w:r w:rsidRPr="001E4B58">
                    <w:t>75,15</w:t>
                  </w:r>
                </w:p>
              </w:tc>
              <w:tc>
                <w:tcPr>
                  <w:tcW w:w="3173" w:type="dxa"/>
                  <w:tcBorders>
                    <w:top w:val="single" w:sz="4" w:space="0" w:color="auto"/>
                    <w:left w:val="single" w:sz="4" w:space="0" w:color="auto"/>
                    <w:bottom w:val="single" w:sz="4" w:space="0" w:color="auto"/>
                    <w:right w:val="single" w:sz="4" w:space="0" w:color="auto"/>
                  </w:tcBorders>
                </w:tcPr>
                <w:p w:rsidR="001E4B58" w:rsidRPr="001E4B58" w:rsidRDefault="001E4B58" w:rsidP="001E4B58">
                  <w:pPr>
                    <w:jc w:val="both"/>
                  </w:pPr>
                  <w:r w:rsidRPr="001E4B58">
                    <w:t>Dėl Covid-19 sergamumo sumažėjęs vaikų lankomumas lėmė 85,21 % pajamų surinkimą pagal planą</w:t>
                  </w:r>
                </w:p>
              </w:tc>
            </w:tr>
            <w:tr w:rsidR="001E4B58" w:rsidRPr="001E4B58" w:rsidTr="001E4B58">
              <w:trPr>
                <w:trHeight w:val="143"/>
              </w:trPr>
              <w:tc>
                <w:tcPr>
                  <w:tcW w:w="2084" w:type="dxa"/>
                  <w:tcBorders>
                    <w:top w:val="single" w:sz="4" w:space="0" w:color="auto"/>
                    <w:left w:val="single" w:sz="4" w:space="0" w:color="auto"/>
                    <w:bottom w:val="single" w:sz="4" w:space="0" w:color="auto"/>
                    <w:right w:val="single" w:sz="4" w:space="0" w:color="auto"/>
                  </w:tcBorders>
                  <w:hideMark/>
                </w:tcPr>
                <w:p w:rsidR="001E4B58" w:rsidRPr="001E4B58" w:rsidRDefault="001E4B58" w:rsidP="001E4B58">
                  <w:r w:rsidRPr="001E4B58">
                    <w:t xml:space="preserve">Pajamų išlaidos </w:t>
                  </w:r>
                  <w:r w:rsidRPr="001E4B58">
                    <w:lastRenderedPageBreak/>
                    <w:t>(SP)</w:t>
                  </w:r>
                </w:p>
              </w:tc>
              <w:tc>
                <w:tcPr>
                  <w:tcW w:w="1470" w:type="dxa"/>
                  <w:tcBorders>
                    <w:top w:val="single" w:sz="4" w:space="0" w:color="auto"/>
                    <w:left w:val="single" w:sz="4" w:space="0" w:color="auto"/>
                    <w:bottom w:val="single" w:sz="4" w:space="0" w:color="auto"/>
                    <w:right w:val="single" w:sz="4" w:space="0" w:color="auto"/>
                  </w:tcBorders>
                  <w:hideMark/>
                </w:tcPr>
                <w:p w:rsidR="001E4B58" w:rsidRPr="001E4B58" w:rsidRDefault="001E4B58" w:rsidP="001E4B58">
                  <w:r w:rsidRPr="001E4B58">
                    <w:lastRenderedPageBreak/>
                    <w:t>0,8</w:t>
                  </w:r>
                </w:p>
              </w:tc>
              <w:tc>
                <w:tcPr>
                  <w:tcW w:w="1232" w:type="dxa"/>
                  <w:tcBorders>
                    <w:top w:val="single" w:sz="4" w:space="0" w:color="auto"/>
                    <w:left w:val="single" w:sz="4" w:space="0" w:color="auto"/>
                    <w:bottom w:val="single" w:sz="4" w:space="0" w:color="auto"/>
                    <w:right w:val="single" w:sz="4" w:space="0" w:color="auto"/>
                  </w:tcBorders>
                </w:tcPr>
                <w:p w:rsidR="001E4B58" w:rsidRPr="001E4B58" w:rsidRDefault="001E4B58" w:rsidP="001E4B58">
                  <w:r w:rsidRPr="001E4B58">
                    <w:t>0,147</w:t>
                  </w:r>
                </w:p>
              </w:tc>
              <w:tc>
                <w:tcPr>
                  <w:tcW w:w="1559" w:type="dxa"/>
                  <w:tcBorders>
                    <w:top w:val="single" w:sz="4" w:space="0" w:color="auto"/>
                    <w:left w:val="single" w:sz="4" w:space="0" w:color="auto"/>
                    <w:bottom w:val="single" w:sz="4" w:space="0" w:color="auto"/>
                    <w:right w:val="single" w:sz="4" w:space="0" w:color="auto"/>
                  </w:tcBorders>
                </w:tcPr>
                <w:p w:rsidR="001E4B58" w:rsidRPr="001E4B58" w:rsidRDefault="001E4B58" w:rsidP="001E4B58">
                  <w:r w:rsidRPr="001E4B58">
                    <w:t>18,38</w:t>
                  </w:r>
                </w:p>
              </w:tc>
              <w:tc>
                <w:tcPr>
                  <w:tcW w:w="3173" w:type="dxa"/>
                  <w:tcBorders>
                    <w:top w:val="single" w:sz="4" w:space="0" w:color="auto"/>
                    <w:left w:val="single" w:sz="4" w:space="0" w:color="auto"/>
                    <w:bottom w:val="single" w:sz="4" w:space="0" w:color="auto"/>
                    <w:right w:val="single" w:sz="4" w:space="0" w:color="auto"/>
                  </w:tcBorders>
                </w:tcPr>
                <w:p w:rsidR="001E4B58" w:rsidRPr="001E4B58" w:rsidRDefault="001E4B58" w:rsidP="001E4B58">
                  <w:pPr>
                    <w:jc w:val="both"/>
                  </w:pPr>
                  <w:r w:rsidRPr="001E4B58">
                    <w:t xml:space="preserve">Dėl Covid-19 pandemijos </w:t>
                  </w:r>
                  <w:r w:rsidRPr="001E4B58">
                    <w:lastRenderedPageBreak/>
                    <w:t>nebuvo sudarytos patalpų nuomos sutartys</w:t>
                  </w:r>
                </w:p>
              </w:tc>
            </w:tr>
            <w:tr w:rsidR="001E4B58" w:rsidRPr="001E4B58" w:rsidTr="001E4B58">
              <w:trPr>
                <w:trHeight w:val="125"/>
              </w:trPr>
              <w:tc>
                <w:tcPr>
                  <w:tcW w:w="2084" w:type="dxa"/>
                  <w:tcBorders>
                    <w:top w:val="single" w:sz="4" w:space="0" w:color="auto"/>
                    <w:left w:val="single" w:sz="4" w:space="0" w:color="auto"/>
                    <w:bottom w:val="single" w:sz="4" w:space="0" w:color="auto"/>
                    <w:right w:val="single" w:sz="4" w:space="0" w:color="auto"/>
                  </w:tcBorders>
                  <w:hideMark/>
                </w:tcPr>
                <w:p w:rsidR="001E4B58" w:rsidRPr="001E4B58" w:rsidRDefault="001E4B58" w:rsidP="001E4B58">
                  <w:r w:rsidRPr="001E4B58">
                    <w:lastRenderedPageBreak/>
                    <w:t>Projektų finansavimas (ES; VB;SB)</w:t>
                  </w:r>
                </w:p>
              </w:tc>
              <w:tc>
                <w:tcPr>
                  <w:tcW w:w="1470" w:type="dxa"/>
                  <w:tcBorders>
                    <w:top w:val="single" w:sz="4" w:space="0" w:color="auto"/>
                    <w:left w:val="single" w:sz="4" w:space="0" w:color="auto"/>
                    <w:bottom w:val="single" w:sz="4" w:space="0" w:color="auto"/>
                    <w:right w:val="single" w:sz="4" w:space="0" w:color="auto"/>
                  </w:tcBorders>
                </w:tcPr>
                <w:p w:rsidR="001E4B58" w:rsidRPr="001E4B58" w:rsidRDefault="001E4B58" w:rsidP="001E4B58">
                  <w:r w:rsidRPr="001E4B58">
                    <w:t>9,538</w:t>
                  </w:r>
                </w:p>
                <w:p w:rsidR="001E4B58" w:rsidRPr="001E4B58" w:rsidRDefault="001E4B58" w:rsidP="001E4B58">
                  <w:r w:rsidRPr="001E4B58">
                    <w:t>5,7</w:t>
                  </w:r>
                </w:p>
              </w:tc>
              <w:tc>
                <w:tcPr>
                  <w:tcW w:w="1232" w:type="dxa"/>
                  <w:tcBorders>
                    <w:top w:val="single" w:sz="4" w:space="0" w:color="auto"/>
                    <w:left w:val="single" w:sz="4" w:space="0" w:color="auto"/>
                    <w:bottom w:val="single" w:sz="4" w:space="0" w:color="auto"/>
                    <w:right w:val="single" w:sz="4" w:space="0" w:color="auto"/>
                  </w:tcBorders>
                </w:tcPr>
                <w:p w:rsidR="001E4B58" w:rsidRPr="001E4B58" w:rsidRDefault="001E4B58" w:rsidP="001E4B58">
                  <w:r w:rsidRPr="001E4B58">
                    <w:t>9,538</w:t>
                  </w:r>
                </w:p>
                <w:p w:rsidR="001E4B58" w:rsidRPr="001E4B58" w:rsidRDefault="001E4B58" w:rsidP="001E4B58">
                  <w:r w:rsidRPr="001E4B58">
                    <w:t>5,7</w:t>
                  </w:r>
                </w:p>
              </w:tc>
              <w:tc>
                <w:tcPr>
                  <w:tcW w:w="1559" w:type="dxa"/>
                  <w:tcBorders>
                    <w:top w:val="single" w:sz="4" w:space="0" w:color="auto"/>
                    <w:left w:val="single" w:sz="4" w:space="0" w:color="auto"/>
                    <w:bottom w:val="single" w:sz="4" w:space="0" w:color="auto"/>
                    <w:right w:val="single" w:sz="4" w:space="0" w:color="auto"/>
                  </w:tcBorders>
                </w:tcPr>
                <w:p w:rsidR="001E4B58" w:rsidRPr="001E4B58" w:rsidRDefault="001E4B58" w:rsidP="001E4B58">
                  <w:r w:rsidRPr="001E4B58">
                    <w:t>100</w:t>
                  </w:r>
                </w:p>
                <w:p w:rsidR="001E4B58" w:rsidRPr="001E4B58" w:rsidRDefault="001E4B58" w:rsidP="001E4B58">
                  <w:r w:rsidRPr="001E4B58">
                    <w:t>100</w:t>
                  </w:r>
                </w:p>
                <w:p w:rsidR="001E4B58" w:rsidRPr="001E4B58" w:rsidRDefault="001E4B58" w:rsidP="001E4B58"/>
              </w:tc>
              <w:tc>
                <w:tcPr>
                  <w:tcW w:w="3173" w:type="dxa"/>
                  <w:tcBorders>
                    <w:top w:val="single" w:sz="4" w:space="0" w:color="auto"/>
                    <w:left w:val="single" w:sz="4" w:space="0" w:color="auto"/>
                    <w:bottom w:val="single" w:sz="4" w:space="0" w:color="auto"/>
                    <w:right w:val="single" w:sz="4" w:space="0" w:color="auto"/>
                  </w:tcBorders>
                </w:tcPr>
                <w:p w:rsidR="001E4B58" w:rsidRPr="001E4B58" w:rsidRDefault="001E4B58" w:rsidP="001E4B58">
                  <w:pPr>
                    <w:jc w:val="both"/>
                  </w:pPr>
                </w:p>
              </w:tc>
            </w:tr>
            <w:tr w:rsidR="001E4B58" w:rsidRPr="001E4B58" w:rsidTr="001E4B58">
              <w:tc>
                <w:tcPr>
                  <w:tcW w:w="2084" w:type="dxa"/>
                  <w:tcBorders>
                    <w:top w:val="single" w:sz="4" w:space="0" w:color="auto"/>
                    <w:left w:val="single" w:sz="4" w:space="0" w:color="auto"/>
                    <w:bottom w:val="single" w:sz="4" w:space="0" w:color="auto"/>
                    <w:right w:val="single" w:sz="4" w:space="0" w:color="auto"/>
                  </w:tcBorders>
                  <w:hideMark/>
                </w:tcPr>
                <w:p w:rsidR="001E4B58" w:rsidRPr="001E4B58" w:rsidRDefault="001E4B58" w:rsidP="001E4B58">
                  <w:r w:rsidRPr="001E4B58">
                    <w:t>Kitos lėšos (parama 2 % GM ir kt.)</w:t>
                  </w:r>
                </w:p>
              </w:tc>
              <w:tc>
                <w:tcPr>
                  <w:tcW w:w="1470" w:type="dxa"/>
                  <w:tcBorders>
                    <w:top w:val="single" w:sz="4" w:space="0" w:color="auto"/>
                    <w:left w:val="single" w:sz="4" w:space="0" w:color="auto"/>
                    <w:bottom w:val="single" w:sz="4" w:space="0" w:color="auto"/>
                    <w:right w:val="single" w:sz="4" w:space="0" w:color="auto"/>
                  </w:tcBorders>
                </w:tcPr>
                <w:p w:rsidR="001E4B58" w:rsidRPr="001E4B58" w:rsidRDefault="001E4B58" w:rsidP="001E4B58">
                  <w:r w:rsidRPr="001E4B58">
                    <w:t>3,5</w:t>
                  </w:r>
                </w:p>
              </w:tc>
              <w:tc>
                <w:tcPr>
                  <w:tcW w:w="1232" w:type="dxa"/>
                  <w:tcBorders>
                    <w:top w:val="single" w:sz="4" w:space="0" w:color="auto"/>
                    <w:left w:val="single" w:sz="4" w:space="0" w:color="auto"/>
                    <w:bottom w:val="single" w:sz="4" w:space="0" w:color="auto"/>
                    <w:right w:val="single" w:sz="4" w:space="0" w:color="auto"/>
                  </w:tcBorders>
                </w:tcPr>
                <w:p w:rsidR="001E4B58" w:rsidRPr="001E4B58" w:rsidRDefault="001E4B58" w:rsidP="001E4B58">
                  <w:r w:rsidRPr="001E4B58">
                    <w:t>1,1</w:t>
                  </w:r>
                </w:p>
              </w:tc>
              <w:tc>
                <w:tcPr>
                  <w:tcW w:w="1559" w:type="dxa"/>
                  <w:tcBorders>
                    <w:top w:val="single" w:sz="4" w:space="0" w:color="auto"/>
                    <w:left w:val="single" w:sz="4" w:space="0" w:color="auto"/>
                    <w:bottom w:val="single" w:sz="4" w:space="0" w:color="auto"/>
                    <w:right w:val="single" w:sz="4" w:space="0" w:color="auto"/>
                  </w:tcBorders>
                </w:tcPr>
                <w:p w:rsidR="001E4B58" w:rsidRPr="001E4B58" w:rsidRDefault="001E4B58" w:rsidP="001E4B58">
                  <w:r w:rsidRPr="001E4B58">
                    <w:t>31,43</w:t>
                  </w:r>
                </w:p>
              </w:tc>
              <w:tc>
                <w:tcPr>
                  <w:tcW w:w="3173" w:type="dxa"/>
                  <w:tcBorders>
                    <w:top w:val="single" w:sz="4" w:space="0" w:color="auto"/>
                    <w:left w:val="single" w:sz="4" w:space="0" w:color="auto"/>
                    <w:bottom w:val="single" w:sz="4" w:space="0" w:color="auto"/>
                    <w:right w:val="single" w:sz="4" w:space="0" w:color="auto"/>
                  </w:tcBorders>
                </w:tcPr>
                <w:p w:rsidR="001E4B58" w:rsidRPr="001E4B58" w:rsidRDefault="001E4B58" w:rsidP="001E4B58">
                  <w:pPr>
                    <w:jc w:val="both"/>
                  </w:pPr>
                </w:p>
              </w:tc>
            </w:tr>
            <w:tr w:rsidR="001E4B58" w:rsidRPr="001E4B58" w:rsidTr="001E4B58">
              <w:trPr>
                <w:trHeight w:val="152"/>
              </w:trPr>
              <w:tc>
                <w:tcPr>
                  <w:tcW w:w="2084" w:type="dxa"/>
                  <w:tcBorders>
                    <w:top w:val="single" w:sz="4" w:space="0" w:color="auto"/>
                    <w:left w:val="single" w:sz="4" w:space="0" w:color="auto"/>
                    <w:bottom w:val="single" w:sz="4" w:space="0" w:color="auto"/>
                    <w:right w:val="single" w:sz="4" w:space="0" w:color="auto"/>
                  </w:tcBorders>
                  <w:hideMark/>
                </w:tcPr>
                <w:p w:rsidR="001E4B58" w:rsidRPr="001E4B58" w:rsidRDefault="001E4B58" w:rsidP="001E4B58">
                  <w:r w:rsidRPr="001E4B58">
                    <w:t>Iš viso</w:t>
                  </w:r>
                </w:p>
              </w:tc>
              <w:tc>
                <w:tcPr>
                  <w:tcW w:w="1470" w:type="dxa"/>
                  <w:tcBorders>
                    <w:top w:val="single" w:sz="4" w:space="0" w:color="auto"/>
                    <w:left w:val="single" w:sz="4" w:space="0" w:color="auto"/>
                    <w:bottom w:val="single" w:sz="4" w:space="0" w:color="auto"/>
                    <w:right w:val="single" w:sz="4" w:space="0" w:color="auto"/>
                  </w:tcBorders>
                </w:tcPr>
                <w:p w:rsidR="001E4B58" w:rsidRPr="001E4B58" w:rsidRDefault="001E4B58" w:rsidP="001E4B58">
                  <w:r w:rsidRPr="001E4B58">
                    <w:t>716,238</w:t>
                  </w:r>
                </w:p>
              </w:tc>
              <w:tc>
                <w:tcPr>
                  <w:tcW w:w="1232" w:type="dxa"/>
                  <w:tcBorders>
                    <w:top w:val="single" w:sz="4" w:space="0" w:color="auto"/>
                    <w:left w:val="single" w:sz="4" w:space="0" w:color="auto"/>
                    <w:bottom w:val="single" w:sz="4" w:space="0" w:color="auto"/>
                    <w:right w:val="single" w:sz="4" w:space="0" w:color="auto"/>
                  </w:tcBorders>
                </w:tcPr>
                <w:p w:rsidR="001E4B58" w:rsidRPr="001E4B58" w:rsidRDefault="001E4B58" w:rsidP="001E4B58">
                  <w:r w:rsidRPr="001E4B58">
                    <w:t>692,234</w:t>
                  </w:r>
                </w:p>
              </w:tc>
              <w:tc>
                <w:tcPr>
                  <w:tcW w:w="1559" w:type="dxa"/>
                  <w:tcBorders>
                    <w:top w:val="single" w:sz="4" w:space="0" w:color="auto"/>
                    <w:left w:val="single" w:sz="4" w:space="0" w:color="auto"/>
                    <w:bottom w:val="single" w:sz="4" w:space="0" w:color="auto"/>
                    <w:right w:val="single" w:sz="4" w:space="0" w:color="auto"/>
                  </w:tcBorders>
                </w:tcPr>
                <w:p w:rsidR="001E4B58" w:rsidRPr="001E4B58" w:rsidRDefault="001E4B58" w:rsidP="001E4B58">
                  <w:r w:rsidRPr="001E4B58">
                    <w:t>96,65</w:t>
                  </w:r>
                </w:p>
              </w:tc>
              <w:tc>
                <w:tcPr>
                  <w:tcW w:w="3173" w:type="dxa"/>
                  <w:tcBorders>
                    <w:top w:val="single" w:sz="4" w:space="0" w:color="auto"/>
                    <w:left w:val="single" w:sz="4" w:space="0" w:color="auto"/>
                    <w:bottom w:val="single" w:sz="4" w:space="0" w:color="auto"/>
                    <w:right w:val="single" w:sz="4" w:space="0" w:color="auto"/>
                  </w:tcBorders>
                </w:tcPr>
                <w:p w:rsidR="001E4B58" w:rsidRPr="001E4B58" w:rsidRDefault="001E4B58" w:rsidP="001E4B58">
                  <w:pPr>
                    <w:jc w:val="both"/>
                  </w:pPr>
                </w:p>
              </w:tc>
            </w:tr>
            <w:tr w:rsidR="001E4B58" w:rsidRPr="001E4B58" w:rsidTr="001E4B58">
              <w:tc>
                <w:tcPr>
                  <w:tcW w:w="4786" w:type="dxa"/>
                  <w:gridSpan w:val="3"/>
                  <w:tcBorders>
                    <w:top w:val="single" w:sz="4" w:space="0" w:color="auto"/>
                    <w:left w:val="single" w:sz="4" w:space="0" w:color="auto"/>
                    <w:bottom w:val="single" w:sz="4" w:space="0" w:color="auto"/>
                    <w:right w:val="single" w:sz="4" w:space="0" w:color="auto"/>
                  </w:tcBorders>
                </w:tcPr>
                <w:p w:rsidR="001E4B58" w:rsidRPr="001E4B58" w:rsidRDefault="001E4B58" w:rsidP="001E4B58">
                  <w:r w:rsidRPr="001E4B58">
                    <w:t xml:space="preserve">Kreditinis įsiskolinimas (pagal visus finansavimo šaltinius) 2022 m. sausio 1 d. </w:t>
                  </w:r>
                </w:p>
              </w:tc>
              <w:tc>
                <w:tcPr>
                  <w:tcW w:w="1559" w:type="dxa"/>
                  <w:tcBorders>
                    <w:top w:val="single" w:sz="4" w:space="0" w:color="auto"/>
                    <w:left w:val="single" w:sz="4" w:space="0" w:color="auto"/>
                    <w:bottom w:val="single" w:sz="4" w:space="0" w:color="auto"/>
                    <w:right w:val="single" w:sz="4" w:space="0" w:color="auto"/>
                  </w:tcBorders>
                </w:tcPr>
                <w:p w:rsidR="001E4B58" w:rsidRPr="001E4B58" w:rsidRDefault="001E4B58" w:rsidP="001E4B58"/>
              </w:tc>
              <w:tc>
                <w:tcPr>
                  <w:tcW w:w="3173" w:type="dxa"/>
                  <w:tcBorders>
                    <w:top w:val="single" w:sz="4" w:space="0" w:color="auto"/>
                    <w:left w:val="single" w:sz="4" w:space="0" w:color="auto"/>
                    <w:bottom w:val="single" w:sz="4" w:space="0" w:color="auto"/>
                    <w:right w:val="single" w:sz="4" w:space="0" w:color="auto"/>
                  </w:tcBorders>
                </w:tcPr>
                <w:p w:rsidR="001E4B58" w:rsidRPr="001E4B58" w:rsidRDefault="001E4B58" w:rsidP="001E4B58">
                  <w:pPr>
                    <w:jc w:val="both"/>
                  </w:pPr>
                  <w:r w:rsidRPr="001E4B58">
                    <w:t>39,43 Eur kreditinis įsiskolinimas už ryšio paslaugas, nes tiekėjas automatiškai formuoja sąskaitas paskutinės mėnesio dienos data ir pateikia kito mėnesio pradžioje.</w:t>
                  </w:r>
                </w:p>
                <w:p w:rsidR="001E4B58" w:rsidRPr="001E4B58" w:rsidRDefault="001E4B58" w:rsidP="001E4B58">
                  <w:pPr>
                    <w:jc w:val="both"/>
                  </w:pPr>
                  <w:r w:rsidRPr="001E4B58">
                    <w:t>332,70 Eur maitinimo paslaugų kompensavimo mitybos išlaidos liko kreditinis įsiskolinimas dėl lėšų trūkumo sąmatoje</w:t>
                  </w:r>
                </w:p>
              </w:tc>
            </w:tr>
          </w:tbl>
          <w:p w:rsidR="001E4B58" w:rsidRPr="00904219" w:rsidRDefault="001E4B58" w:rsidP="001E4B58">
            <w:pPr>
              <w:ind w:firstLine="567"/>
              <w:jc w:val="both"/>
            </w:pPr>
          </w:p>
          <w:p w:rsidR="001E4B58" w:rsidRPr="001E4B58" w:rsidRDefault="001E4B58" w:rsidP="001E4B58">
            <w:pPr>
              <w:ind w:right="-22" w:firstLine="603"/>
              <w:jc w:val="both"/>
              <w:rPr>
                <w:szCs w:val="20"/>
              </w:rPr>
            </w:pPr>
            <w:r w:rsidRPr="001E4B58">
              <w:rPr>
                <w:szCs w:val="20"/>
              </w:rPr>
              <w:t xml:space="preserve">Įstaigoje 2021 m. patikrinimus atliko Kontrolės tarnyba „Inspectum“ (2021-05-03), </w:t>
            </w:r>
            <w:r w:rsidRPr="001E4B58">
              <w:rPr>
                <w:lang w:eastAsia="lt-LT"/>
              </w:rPr>
              <w:t>Valstybinės maisto ir veterinarijos tarnyba (2021-04-28, 2021-11-26) ir Valstybinė darbo inspekcija (2021-10-21). Nustatyti neatitikimai (rasti neatitikimai maisto gamybos technologijoje, neatliktas| psichosocialinių rizikos veiksnių keliamos rizikos darbuotojų saugai ir sveikatai vertinimas)</w:t>
            </w:r>
            <w:r w:rsidRPr="001E4B58">
              <w:rPr>
                <w:color w:val="FF0000"/>
                <w:lang w:eastAsia="lt-LT"/>
              </w:rPr>
              <w:t xml:space="preserve"> </w:t>
            </w:r>
            <w:r w:rsidRPr="001E4B58">
              <w:rPr>
                <w:lang w:eastAsia="lt-LT"/>
              </w:rPr>
              <w:t>buvo pašalinti teisės aktų numatyta tvarka.</w:t>
            </w:r>
          </w:p>
          <w:p w:rsidR="001E4B58" w:rsidRPr="001E4B58" w:rsidRDefault="001E4B58" w:rsidP="001E4B58">
            <w:pPr>
              <w:ind w:right="-22" w:firstLine="603"/>
              <w:jc w:val="both"/>
              <w:rPr>
                <w:szCs w:val="20"/>
                <w:lang w:eastAsia="lt-LT"/>
              </w:rPr>
            </w:pPr>
            <w:r w:rsidRPr="001E4B58">
              <w:rPr>
                <w:szCs w:val="20"/>
              </w:rPr>
              <w:t>2021 m. Įstaigoje liko neišspręstos tokios vidaus ir išorės faktorių sąlygotos problemos:</w:t>
            </w:r>
            <w:r w:rsidRPr="001E4B58">
              <w:rPr>
                <w:rFonts w:eastAsia="Calibri"/>
              </w:rPr>
              <w:t xml:space="preserve"> didėjantis vaikų, turinčių specialiuosius ugdymosi poreikius, skaičius, nepakankamas darbuotojų skaičius darbui su jais. Labai prasta pastato išorės ir vidaus būklė: būtina </w:t>
            </w:r>
            <w:r w:rsidRPr="001E4B58">
              <w:rPr>
                <w:szCs w:val="20"/>
              </w:rPr>
              <w:t>pastatą apšiltinti, užbaigti elektros instaliacijos atnaujinimą, atlikti laiptinės, koridorių ir kitų patalpų remontą, pakeisti vidaus patalpų duris, įrengti lauko žaidimų įrengimus, pavėsines, atnaujinti lauko aikštelių ir takų dangą, žolynus, aptverti tvora visą Įstaigos teritoriją, įrengti modernų sporto aikštyną, įsigyti informacinių ir komunikacinių technologijų, lauko užsiėmimams skirtą sportinį inventorių.</w:t>
            </w:r>
          </w:p>
          <w:p w:rsidR="001E4B58" w:rsidRPr="001E4B58" w:rsidRDefault="001E4B58" w:rsidP="001E4B58">
            <w:pPr>
              <w:ind w:firstLine="603"/>
              <w:jc w:val="both"/>
              <w:rPr>
                <w:lang w:eastAsia="lt-LT"/>
              </w:rPr>
            </w:pPr>
            <w:r w:rsidRPr="001E4B58">
              <w:t>Planuojant 2022 metų veiklą, Įstaigos bendruomenė susitarė dėl tokių prioritetų: siekti kiekvieno vaiko asmenybės ūgties, inovatyviai, kryptingai ir kokybiškai organizuojant ugdymo procesą; sėkmingai bendradarbiaujant kurti atvirą kaitai bendruomenę</w:t>
            </w:r>
            <w:r w:rsidR="00B93EE7">
              <w:t>.</w:t>
            </w:r>
          </w:p>
        </w:tc>
      </w:tr>
    </w:tbl>
    <w:p w:rsidR="001E4B58" w:rsidRPr="00904219" w:rsidRDefault="001E4B58" w:rsidP="00904219">
      <w:pPr>
        <w:rPr>
          <w:lang w:eastAsia="lt-LT"/>
        </w:rPr>
      </w:pPr>
    </w:p>
    <w:p w:rsidR="001E4B58" w:rsidRDefault="001E4B58" w:rsidP="00832CC9">
      <w:pPr>
        <w:ind w:firstLine="709"/>
        <w:jc w:val="both"/>
      </w:pPr>
    </w:p>
    <w:p w:rsidR="00D57F27" w:rsidRPr="001E4B58" w:rsidRDefault="001E4B58" w:rsidP="001E4B58">
      <w:pPr>
        <w:tabs>
          <w:tab w:val="left" w:pos="4253"/>
          <w:tab w:val="left" w:pos="6946"/>
        </w:tabs>
        <w:jc w:val="both"/>
        <w:rPr>
          <w:lang w:eastAsia="lt-LT"/>
        </w:rPr>
      </w:pPr>
      <w:r w:rsidRPr="001E4B58">
        <w:rPr>
          <w:lang w:eastAsia="lt-LT"/>
        </w:rPr>
        <w:t>Direktori</w:t>
      </w:r>
      <w:r>
        <w:rPr>
          <w:lang w:eastAsia="lt-LT"/>
        </w:rPr>
        <w:t xml:space="preserve">us </w:t>
      </w:r>
      <w:r>
        <w:rPr>
          <w:lang w:eastAsia="lt-LT"/>
        </w:rPr>
        <w:tab/>
      </w:r>
      <w:r>
        <w:rPr>
          <w:lang w:eastAsia="lt-LT"/>
        </w:rPr>
        <w:tab/>
      </w:r>
      <w:r>
        <w:rPr>
          <w:lang w:eastAsia="lt-LT"/>
        </w:rPr>
        <w:tab/>
      </w:r>
      <w:bookmarkStart w:id="2" w:name="_GoBack"/>
      <w:bookmarkEnd w:id="2"/>
      <w:r w:rsidRPr="001E4B58">
        <w:rPr>
          <w:lang w:eastAsia="lt-LT"/>
        </w:rPr>
        <w:t>Diana Varkalienė</w:t>
      </w:r>
    </w:p>
    <w:sectPr w:rsidR="00D57F27" w:rsidRPr="001E4B58"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39392E">
          <w:rPr>
            <w:noProof/>
          </w:rPr>
          <w:t>3</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630A13"/>
    <w:multiLevelType w:val="hybridMultilevel"/>
    <w:tmpl w:val="4FEC9CE6"/>
    <w:lvl w:ilvl="0" w:tplc="6798910C">
      <w:numFmt w:val="bullet"/>
      <w:lvlText w:val="–"/>
      <w:lvlJc w:val="left"/>
      <w:pPr>
        <w:ind w:left="963" w:hanging="360"/>
      </w:pPr>
      <w:rPr>
        <w:rFonts w:ascii="Times New Roman" w:eastAsia="Times New Roman"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0D148D"/>
    <w:rsid w:val="0019615E"/>
    <w:rsid w:val="001E4B58"/>
    <w:rsid w:val="0034183E"/>
    <w:rsid w:val="0039392E"/>
    <w:rsid w:val="004476DD"/>
    <w:rsid w:val="00597EE8"/>
    <w:rsid w:val="005B434A"/>
    <w:rsid w:val="005F495C"/>
    <w:rsid w:val="00832CC9"/>
    <w:rsid w:val="008354D5"/>
    <w:rsid w:val="008E6E82"/>
    <w:rsid w:val="00904219"/>
    <w:rsid w:val="00A103E1"/>
    <w:rsid w:val="00AF7D08"/>
    <w:rsid w:val="00B750B6"/>
    <w:rsid w:val="00B93EE7"/>
    <w:rsid w:val="00C57681"/>
    <w:rsid w:val="00CA4D3B"/>
    <w:rsid w:val="00D42B72"/>
    <w:rsid w:val="00D57F27"/>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34958C-6D56-4D28-8213-57FC8DA33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6140</Words>
  <Characters>3501</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4</cp:revision>
  <dcterms:created xsi:type="dcterms:W3CDTF">2022-02-24T06:15:00Z</dcterms:created>
  <dcterms:modified xsi:type="dcterms:W3CDTF">2022-03-02T08:10:00Z</dcterms:modified>
</cp:coreProperties>
</file>